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聂勇岗</w:t>
      </w:r>
      <w:r>
        <w:rPr>
          <w:rFonts w:hint="eastAsia"/>
          <w:sz w:val="15"/>
          <w:szCs w:val="15"/>
          <w:highlight w:val="none"/>
        </w:rPr>
        <w:t>，</w:t>
      </w:r>
      <w:r>
        <w:rPr>
          <w:rFonts w:hint="eastAsia"/>
          <w:sz w:val="15"/>
          <w:szCs w:val="15"/>
          <w:highlight w:val="none"/>
          <w:lang w:val="en-US" w:eastAsia="zh-CN"/>
        </w:rPr>
        <w:t>132336198011161310</w:t>
      </w:r>
      <w:r>
        <w:rPr>
          <w:rFonts w:hint="eastAsia"/>
          <w:sz w:val="15"/>
          <w:szCs w:val="15"/>
        </w:rPr>
        <w:t xml:space="preserve">  </w:t>
      </w:r>
      <w:r>
        <w:rPr>
          <w:rFonts w:hint="eastAsia"/>
          <w:sz w:val="15"/>
          <w:szCs w:val="15"/>
          <w:lang w:val="en-US" w:eastAsia="zh-CN"/>
        </w:rPr>
        <w:t>沪A09089D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