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折丽杰</w:t>
      </w:r>
      <w:r>
        <w:rPr>
          <w:rFonts w:hint="eastAsia"/>
          <w:sz w:val="15"/>
          <w:szCs w:val="15"/>
          <w:highlight w:val="none"/>
        </w:rPr>
        <w:t>，</w:t>
      </w:r>
      <w:r>
        <w:rPr>
          <w:rFonts w:hint="eastAsia"/>
          <w:sz w:val="15"/>
          <w:szCs w:val="15"/>
          <w:highlight w:val="none"/>
          <w:lang w:val="en-US" w:eastAsia="zh-CN"/>
        </w:rPr>
        <w:t>132336198007031011</w:t>
      </w:r>
      <w:r>
        <w:rPr>
          <w:rFonts w:hint="eastAsia"/>
          <w:sz w:val="15"/>
          <w:szCs w:val="15"/>
        </w:rPr>
        <w:t xml:space="preserve">  </w:t>
      </w:r>
      <w:r>
        <w:rPr>
          <w:rFonts w:hint="eastAsia"/>
          <w:sz w:val="15"/>
          <w:szCs w:val="15"/>
          <w:lang w:val="en-US" w:eastAsia="zh-CN"/>
        </w:rPr>
        <w:t>冀ADF234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