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孟双江</w:t>
      </w:r>
      <w:r>
        <w:rPr>
          <w:rFonts w:hint="eastAsia"/>
          <w:sz w:val="15"/>
          <w:szCs w:val="15"/>
          <w:highlight w:val="none"/>
        </w:rPr>
        <w:t>，</w:t>
      </w:r>
      <w:r>
        <w:rPr>
          <w:rFonts w:hint="eastAsia"/>
          <w:sz w:val="15"/>
          <w:szCs w:val="15"/>
          <w:highlight w:val="none"/>
          <w:lang w:val="en-US" w:eastAsia="zh-CN"/>
        </w:rPr>
        <w:t>132336198006030439</w:t>
      </w:r>
      <w:r>
        <w:rPr>
          <w:rFonts w:hint="eastAsia"/>
          <w:sz w:val="15"/>
          <w:szCs w:val="15"/>
        </w:rPr>
        <w:t xml:space="preserve">  </w:t>
      </w:r>
      <w:r>
        <w:rPr>
          <w:rFonts w:hint="eastAsia"/>
          <w:sz w:val="15"/>
          <w:szCs w:val="15"/>
          <w:lang w:val="en-US" w:eastAsia="zh-CN"/>
        </w:rPr>
        <w:t>冀A74109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