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白振江</w:t>
      </w:r>
      <w:r>
        <w:rPr>
          <w:rFonts w:hint="eastAsia"/>
          <w:sz w:val="15"/>
          <w:szCs w:val="15"/>
          <w:highlight w:val="none"/>
        </w:rPr>
        <w:t>，</w:t>
      </w:r>
      <w:r>
        <w:rPr>
          <w:rFonts w:hint="eastAsia"/>
          <w:sz w:val="15"/>
          <w:szCs w:val="15"/>
          <w:highlight w:val="none"/>
          <w:lang w:val="en-US" w:eastAsia="zh-CN"/>
        </w:rPr>
        <w:t>132336197908051015</w:t>
      </w:r>
      <w:r>
        <w:rPr>
          <w:rFonts w:hint="eastAsia"/>
          <w:sz w:val="15"/>
          <w:szCs w:val="15"/>
        </w:rPr>
        <w:t xml:space="preserve">  </w:t>
      </w:r>
      <w:r>
        <w:rPr>
          <w:rFonts w:hint="eastAsia"/>
          <w:sz w:val="15"/>
          <w:szCs w:val="15"/>
          <w:lang w:val="en-US" w:eastAsia="zh-CN"/>
        </w:rPr>
        <w:t>冀A301JL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