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赵伟东</w:t>
      </w:r>
      <w:r>
        <w:rPr>
          <w:rFonts w:hint="eastAsia"/>
          <w:sz w:val="15"/>
          <w:szCs w:val="15"/>
          <w:highlight w:val="none"/>
        </w:rPr>
        <w:t>，</w:t>
      </w:r>
      <w:r>
        <w:rPr>
          <w:rFonts w:hint="eastAsia"/>
          <w:sz w:val="15"/>
          <w:szCs w:val="15"/>
          <w:highlight w:val="none"/>
          <w:lang w:val="en-US" w:eastAsia="zh-CN"/>
        </w:rPr>
        <w:t>132336197907091015</w:t>
      </w:r>
      <w:r>
        <w:rPr>
          <w:rFonts w:hint="eastAsia"/>
          <w:sz w:val="15"/>
          <w:szCs w:val="15"/>
        </w:rPr>
        <w:t xml:space="preserve">  </w:t>
      </w:r>
      <w:r>
        <w:rPr>
          <w:rFonts w:hint="eastAsia"/>
          <w:sz w:val="15"/>
          <w:szCs w:val="15"/>
          <w:lang w:val="en-US" w:eastAsia="zh-CN"/>
        </w:rPr>
        <w:t>冀A27V71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