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张大雷</w:t>
      </w:r>
      <w:r>
        <w:rPr>
          <w:rFonts w:hint="eastAsia"/>
          <w:sz w:val="15"/>
          <w:szCs w:val="15"/>
          <w:highlight w:val="none"/>
        </w:rPr>
        <w:t>，</w:t>
      </w:r>
      <w:r>
        <w:rPr>
          <w:rFonts w:hint="eastAsia"/>
          <w:sz w:val="15"/>
          <w:szCs w:val="15"/>
          <w:highlight w:val="none"/>
          <w:lang w:val="en-US" w:eastAsia="zh-CN"/>
        </w:rPr>
        <w:t>132336197906261115</w:t>
      </w:r>
      <w:r>
        <w:rPr>
          <w:rFonts w:hint="eastAsia"/>
          <w:sz w:val="15"/>
          <w:szCs w:val="15"/>
        </w:rPr>
        <w:t xml:space="preserve">  </w:t>
      </w:r>
      <w:r>
        <w:rPr>
          <w:rFonts w:hint="eastAsia"/>
          <w:sz w:val="15"/>
          <w:szCs w:val="15"/>
          <w:lang w:val="en-US" w:eastAsia="zh-CN"/>
        </w:rPr>
        <w:t>冀AF8158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