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孙新朝</w:t>
      </w:r>
      <w:r>
        <w:rPr>
          <w:rFonts w:hint="eastAsia"/>
          <w:sz w:val="15"/>
          <w:szCs w:val="15"/>
          <w:highlight w:val="none"/>
        </w:rPr>
        <w:t>，</w:t>
      </w:r>
      <w:r>
        <w:rPr>
          <w:rFonts w:hint="eastAsia"/>
          <w:sz w:val="15"/>
          <w:szCs w:val="15"/>
          <w:highlight w:val="none"/>
          <w:lang w:val="en-US" w:eastAsia="zh-CN"/>
        </w:rPr>
        <w:t>132336197904121717</w:t>
      </w:r>
      <w:r>
        <w:rPr>
          <w:rFonts w:hint="eastAsia"/>
          <w:sz w:val="15"/>
          <w:szCs w:val="15"/>
        </w:rPr>
        <w:t xml:space="preserve">  </w:t>
      </w:r>
      <w:r>
        <w:rPr>
          <w:rFonts w:hint="eastAsia"/>
          <w:sz w:val="15"/>
          <w:szCs w:val="15"/>
          <w:lang w:val="en-US" w:eastAsia="zh-CN"/>
        </w:rPr>
        <w:t>冀AP2863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