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马建峰</w:t>
      </w:r>
      <w:r>
        <w:rPr>
          <w:rFonts w:hint="eastAsia"/>
          <w:sz w:val="15"/>
          <w:szCs w:val="15"/>
          <w:highlight w:val="none"/>
        </w:rPr>
        <w:t>，</w:t>
      </w:r>
      <w:r>
        <w:rPr>
          <w:rFonts w:hint="eastAsia"/>
          <w:sz w:val="15"/>
          <w:szCs w:val="15"/>
          <w:highlight w:val="none"/>
          <w:lang w:val="en-US" w:eastAsia="zh-CN"/>
        </w:rPr>
        <w:t>132336197903293031</w:t>
      </w:r>
      <w:r>
        <w:rPr>
          <w:rFonts w:hint="eastAsia"/>
          <w:sz w:val="15"/>
          <w:szCs w:val="15"/>
        </w:rPr>
        <w:t xml:space="preserve">  </w:t>
      </w:r>
      <w:r>
        <w:rPr>
          <w:rFonts w:hint="eastAsia"/>
          <w:sz w:val="15"/>
          <w:szCs w:val="15"/>
          <w:lang w:val="en-US" w:eastAsia="zh-CN"/>
        </w:rPr>
        <w:t>冀AV9046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