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杨志利</w:t>
      </w:r>
      <w:r>
        <w:rPr>
          <w:rFonts w:hint="eastAsia"/>
          <w:sz w:val="15"/>
          <w:szCs w:val="15"/>
          <w:highlight w:val="none"/>
        </w:rPr>
        <w:t>，</w:t>
      </w:r>
      <w:r>
        <w:rPr>
          <w:rFonts w:hint="eastAsia"/>
          <w:sz w:val="15"/>
          <w:szCs w:val="15"/>
          <w:highlight w:val="none"/>
          <w:lang w:val="en-US" w:eastAsia="zh-CN"/>
        </w:rPr>
        <w:t>132336197807111912</w:t>
      </w:r>
      <w:r>
        <w:rPr>
          <w:rFonts w:hint="eastAsia"/>
          <w:sz w:val="15"/>
          <w:szCs w:val="15"/>
        </w:rPr>
        <w:t xml:space="preserve">  </w:t>
      </w:r>
      <w:r>
        <w:rPr>
          <w:rFonts w:hint="eastAsia"/>
          <w:sz w:val="15"/>
          <w:szCs w:val="15"/>
          <w:lang w:val="en-US" w:eastAsia="zh-CN"/>
        </w:rPr>
        <w:t>沪A01305A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