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丁建芳</w:t>
      </w:r>
      <w:r>
        <w:rPr>
          <w:rFonts w:hint="eastAsia"/>
          <w:sz w:val="15"/>
          <w:szCs w:val="15"/>
          <w:highlight w:val="none"/>
        </w:rPr>
        <w:t>，</w:t>
      </w:r>
      <w:r>
        <w:rPr>
          <w:rFonts w:hint="eastAsia"/>
          <w:sz w:val="15"/>
          <w:szCs w:val="15"/>
          <w:highlight w:val="none"/>
          <w:lang w:val="en-US" w:eastAsia="zh-CN"/>
        </w:rPr>
        <w:t>132336197803180611</w:t>
      </w:r>
      <w:r>
        <w:rPr>
          <w:rFonts w:hint="eastAsia"/>
          <w:sz w:val="15"/>
          <w:szCs w:val="15"/>
        </w:rPr>
        <w:t xml:space="preserve">  </w:t>
      </w:r>
      <w:r>
        <w:rPr>
          <w:rFonts w:hint="eastAsia"/>
          <w:sz w:val="15"/>
          <w:szCs w:val="15"/>
          <w:lang w:val="en-US" w:eastAsia="zh-CN"/>
        </w:rPr>
        <w:t>冀A966NF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