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杨新忠</w:t>
      </w:r>
      <w:r>
        <w:rPr>
          <w:rFonts w:hint="eastAsia"/>
          <w:sz w:val="15"/>
          <w:szCs w:val="15"/>
          <w:highlight w:val="none"/>
        </w:rPr>
        <w:t>，</w:t>
      </w:r>
      <w:r>
        <w:rPr>
          <w:rFonts w:hint="eastAsia"/>
          <w:sz w:val="15"/>
          <w:szCs w:val="15"/>
          <w:highlight w:val="none"/>
          <w:lang w:val="en-US" w:eastAsia="zh-CN"/>
        </w:rPr>
        <w:t>132336197712281935</w:t>
      </w:r>
      <w:r>
        <w:rPr>
          <w:rFonts w:hint="eastAsia"/>
          <w:sz w:val="15"/>
          <w:szCs w:val="15"/>
        </w:rPr>
        <w:t xml:space="preserve">  </w:t>
      </w:r>
      <w:r>
        <w:rPr>
          <w:rFonts w:hint="eastAsia"/>
          <w:sz w:val="15"/>
          <w:szCs w:val="15"/>
          <w:lang w:val="en-US" w:eastAsia="zh-CN"/>
        </w:rPr>
        <w:t>冀A31972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