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袁东海</w:t>
      </w:r>
      <w:r>
        <w:rPr>
          <w:rFonts w:hint="eastAsia"/>
          <w:sz w:val="15"/>
          <w:szCs w:val="15"/>
          <w:highlight w:val="none"/>
        </w:rPr>
        <w:t>，</w:t>
      </w:r>
      <w:r>
        <w:rPr>
          <w:rFonts w:hint="eastAsia"/>
          <w:sz w:val="15"/>
          <w:szCs w:val="15"/>
          <w:highlight w:val="none"/>
          <w:lang w:val="en-US" w:eastAsia="zh-CN"/>
        </w:rPr>
        <w:t>132336197704151110</w:t>
      </w:r>
      <w:r>
        <w:rPr>
          <w:rFonts w:hint="eastAsia"/>
          <w:sz w:val="15"/>
          <w:szCs w:val="15"/>
        </w:rPr>
        <w:t xml:space="preserve">  </w:t>
      </w:r>
      <w:r>
        <w:rPr>
          <w:rFonts w:hint="eastAsia"/>
          <w:sz w:val="15"/>
          <w:szCs w:val="15"/>
          <w:lang w:val="en-US" w:eastAsia="zh-CN"/>
        </w:rPr>
        <w:t>冀AYP686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