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冯三文</w:t>
      </w:r>
      <w:r>
        <w:rPr>
          <w:rFonts w:hint="eastAsia"/>
          <w:sz w:val="15"/>
          <w:szCs w:val="15"/>
          <w:highlight w:val="none"/>
        </w:rPr>
        <w:t>，</w:t>
      </w:r>
      <w:r>
        <w:rPr>
          <w:rFonts w:hint="eastAsia"/>
          <w:sz w:val="15"/>
          <w:szCs w:val="15"/>
          <w:highlight w:val="none"/>
          <w:lang w:val="en-US" w:eastAsia="zh-CN"/>
        </w:rPr>
        <w:t>132336197611290533</w:t>
      </w:r>
      <w:r>
        <w:rPr>
          <w:rFonts w:hint="eastAsia"/>
          <w:sz w:val="15"/>
          <w:szCs w:val="15"/>
        </w:rPr>
        <w:t xml:space="preserve">  </w:t>
      </w:r>
      <w:r>
        <w:rPr>
          <w:rFonts w:hint="eastAsia"/>
          <w:sz w:val="15"/>
          <w:szCs w:val="15"/>
          <w:lang w:val="en-US" w:eastAsia="zh-CN"/>
        </w:rPr>
        <w:t>冀AN1633</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