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康二珍</w:t>
      </w:r>
      <w:r>
        <w:rPr>
          <w:rFonts w:hint="eastAsia"/>
          <w:sz w:val="15"/>
          <w:szCs w:val="15"/>
          <w:highlight w:val="none"/>
        </w:rPr>
        <w:t>，</w:t>
      </w:r>
      <w:r>
        <w:rPr>
          <w:rFonts w:hint="eastAsia"/>
          <w:sz w:val="15"/>
          <w:szCs w:val="15"/>
          <w:highlight w:val="none"/>
          <w:lang w:val="en-US" w:eastAsia="zh-CN"/>
        </w:rPr>
        <w:t>132336197606100619</w:t>
      </w:r>
      <w:r>
        <w:rPr>
          <w:rFonts w:hint="eastAsia"/>
          <w:sz w:val="15"/>
          <w:szCs w:val="15"/>
        </w:rPr>
        <w:t xml:space="preserve">  </w:t>
      </w:r>
      <w:r>
        <w:rPr>
          <w:rFonts w:hint="eastAsia"/>
          <w:sz w:val="15"/>
          <w:szCs w:val="15"/>
          <w:lang w:val="en-US" w:eastAsia="zh-CN"/>
        </w:rPr>
        <w:t>冀AT9231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