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张海江</w:t>
      </w:r>
      <w:r>
        <w:rPr>
          <w:rFonts w:hint="eastAsia"/>
          <w:sz w:val="15"/>
          <w:szCs w:val="15"/>
          <w:highlight w:val="none"/>
        </w:rPr>
        <w:t>，</w:t>
      </w:r>
      <w:r>
        <w:rPr>
          <w:rFonts w:hint="eastAsia"/>
          <w:sz w:val="15"/>
          <w:szCs w:val="15"/>
          <w:highlight w:val="none"/>
          <w:lang w:val="en-US" w:eastAsia="zh-CN"/>
        </w:rPr>
        <w:t>132336197605101118</w:t>
      </w:r>
      <w:r>
        <w:rPr>
          <w:rFonts w:hint="eastAsia"/>
          <w:sz w:val="15"/>
          <w:szCs w:val="15"/>
        </w:rPr>
        <w:t xml:space="preserve">  </w:t>
      </w:r>
      <w:r>
        <w:rPr>
          <w:rFonts w:hint="eastAsia"/>
          <w:sz w:val="15"/>
          <w:szCs w:val="15"/>
          <w:lang w:val="en-US" w:eastAsia="zh-CN"/>
        </w:rPr>
        <w:t>冀A7104T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