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安慧军</w:t>
      </w:r>
      <w:r>
        <w:rPr>
          <w:rFonts w:hint="eastAsia"/>
          <w:sz w:val="15"/>
          <w:szCs w:val="15"/>
          <w:highlight w:val="none"/>
        </w:rPr>
        <w:t>，</w:t>
      </w:r>
      <w:r>
        <w:rPr>
          <w:rFonts w:hint="eastAsia"/>
          <w:sz w:val="15"/>
          <w:szCs w:val="15"/>
          <w:highlight w:val="none"/>
          <w:lang w:val="en-US" w:eastAsia="zh-CN"/>
        </w:rPr>
        <w:t>132336197604051112</w:t>
      </w:r>
      <w:r>
        <w:rPr>
          <w:rFonts w:hint="eastAsia"/>
          <w:sz w:val="15"/>
          <w:szCs w:val="15"/>
        </w:rPr>
        <w:t xml:space="preserve">  </w:t>
      </w:r>
      <w:r>
        <w:rPr>
          <w:rFonts w:hint="eastAsia"/>
          <w:sz w:val="15"/>
          <w:szCs w:val="15"/>
          <w:lang w:val="en-US" w:eastAsia="zh-CN"/>
        </w:rPr>
        <w:t>沪A78653D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