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郝立勋</w:t>
      </w:r>
      <w:r>
        <w:rPr>
          <w:rFonts w:hint="eastAsia"/>
          <w:sz w:val="15"/>
          <w:szCs w:val="15"/>
          <w:highlight w:val="none"/>
        </w:rPr>
        <w:t>，</w:t>
      </w:r>
      <w:r>
        <w:rPr>
          <w:rFonts w:hint="eastAsia"/>
          <w:sz w:val="15"/>
          <w:szCs w:val="15"/>
          <w:highlight w:val="none"/>
          <w:lang w:val="en-US" w:eastAsia="zh-CN"/>
        </w:rPr>
        <w:t>132336197507070215</w:t>
      </w:r>
      <w:r>
        <w:rPr>
          <w:rFonts w:hint="eastAsia"/>
          <w:sz w:val="15"/>
          <w:szCs w:val="15"/>
        </w:rPr>
        <w:t xml:space="preserve">  </w:t>
      </w:r>
      <w:r>
        <w:rPr>
          <w:rFonts w:hint="eastAsia"/>
          <w:sz w:val="15"/>
          <w:szCs w:val="15"/>
          <w:lang w:val="en-US" w:eastAsia="zh-CN"/>
        </w:rPr>
        <w:t>冀A16H46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