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姚文国</w:t>
      </w:r>
      <w:r>
        <w:rPr>
          <w:rFonts w:hint="eastAsia"/>
          <w:sz w:val="15"/>
          <w:szCs w:val="15"/>
          <w:highlight w:val="none"/>
        </w:rPr>
        <w:t>，</w:t>
      </w:r>
      <w:r>
        <w:rPr>
          <w:rFonts w:hint="eastAsia"/>
          <w:sz w:val="15"/>
          <w:szCs w:val="15"/>
          <w:highlight w:val="none"/>
          <w:lang w:val="en-US" w:eastAsia="zh-CN"/>
        </w:rPr>
        <w:t>132336197410110313</w:t>
      </w:r>
      <w:r>
        <w:rPr>
          <w:rFonts w:hint="eastAsia"/>
          <w:sz w:val="15"/>
          <w:szCs w:val="15"/>
        </w:rPr>
        <w:t xml:space="preserve">  </w:t>
      </w:r>
      <w:r>
        <w:rPr>
          <w:rFonts w:hint="eastAsia"/>
          <w:sz w:val="15"/>
          <w:szCs w:val="15"/>
          <w:lang w:val="en-US" w:eastAsia="zh-CN"/>
        </w:rPr>
        <w:t>冀A12H30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