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彭业强</w:t>
      </w:r>
      <w:r>
        <w:rPr>
          <w:rFonts w:hint="eastAsia"/>
          <w:sz w:val="15"/>
          <w:szCs w:val="15"/>
          <w:highlight w:val="none"/>
        </w:rPr>
        <w:t>，</w:t>
      </w:r>
      <w:r>
        <w:rPr>
          <w:rFonts w:hint="eastAsia"/>
          <w:sz w:val="15"/>
          <w:szCs w:val="15"/>
          <w:highlight w:val="none"/>
          <w:lang w:val="en-US" w:eastAsia="zh-CN"/>
        </w:rPr>
        <w:t>132336197409280913</w:t>
      </w:r>
      <w:r>
        <w:rPr>
          <w:rFonts w:hint="eastAsia"/>
          <w:sz w:val="15"/>
          <w:szCs w:val="15"/>
        </w:rPr>
        <w:t xml:space="preserve">  </w:t>
      </w:r>
      <w:r>
        <w:rPr>
          <w:rFonts w:hint="eastAsia"/>
          <w:sz w:val="15"/>
          <w:szCs w:val="15"/>
          <w:lang w:val="en-US" w:eastAsia="zh-CN"/>
        </w:rPr>
        <w:t>冀ABW955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