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王双玲</w:t>
      </w:r>
      <w:r>
        <w:rPr>
          <w:rFonts w:hint="eastAsia"/>
          <w:sz w:val="15"/>
          <w:szCs w:val="15"/>
          <w:highlight w:val="none"/>
        </w:rPr>
        <w:t>，</w:t>
      </w:r>
      <w:r>
        <w:rPr>
          <w:rFonts w:hint="eastAsia"/>
          <w:sz w:val="15"/>
          <w:szCs w:val="15"/>
          <w:highlight w:val="none"/>
          <w:lang w:val="en-US" w:eastAsia="zh-CN"/>
        </w:rPr>
        <w:t>132336197408110410</w:t>
      </w:r>
      <w:r>
        <w:rPr>
          <w:rFonts w:hint="eastAsia"/>
          <w:sz w:val="15"/>
          <w:szCs w:val="15"/>
        </w:rPr>
        <w:t xml:space="preserve">  </w:t>
      </w:r>
      <w:r>
        <w:rPr>
          <w:rFonts w:hint="eastAsia"/>
          <w:sz w:val="15"/>
          <w:szCs w:val="15"/>
          <w:lang w:val="en-US" w:eastAsia="zh-CN"/>
        </w:rPr>
        <w:t>冀A6BF99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