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徐艳军</w:t>
      </w:r>
      <w:r>
        <w:rPr>
          <w:rFonts w:hint="eastAsia"/>
          <w:sz w:val="15"/>
          <w:szCs w:val="15"/>
          <w:highlight w:val="none"/>
        </w:rPr>
        <w:t>，</w:t>
      </w:r>
      <w:r>
        <w:rPr>
          <w:rFonts w:hint="eastAsia"/>
          <w:sz w:val="15"/>
          <w:szCs w:val="15"/>
          <w:highlight w:val="none"/>
          <w:lang w:val="en-US" w:eastAsia="zh-CN"/>
        </w:rPr>
        <w:t>132336197407270615</w:t>
      </w:r>
      <w:r>
        <w:rPr>
          <w:rFonts w:hint="eastAsia"/>
          <w:sz w:val="15"/>
          <w:szCs w:val="15"/>
        </w:rPr>
        <w:t xml:space="preserve">  </w:t>
      </w:r>
      <w:r>
        <w:rPr>
          <w:rFonts w:hint="eastAsia"/>
          <w:sz w:val="15"/>
          <w:szCs w:val="15"/>
          <w:lang w:val="en-US" w:eastAsia="zh-CN"/>
        </w:rPr>
        <w:t>京A31459D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