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白士庆</w:t>
      </w:r>
      <w:r>
        <w:rPr>
          <w:rFonts w:hint="eastAsia"/>
          <w:sz w:val="15"/>
          <w:szCs w:val="15"/>
          <w:highlight w:val="none"/>
        </w:rPr>
        <w:t>，</w:t>
      </w:r>
      <w:r>
        <w:rPr>
          <w:rFonts w:hint="eastAsia"/>
          <w:sz w:val="15"/>
          <w:szCs w:val="15"/>
          <w:highlight w:val="none"/>
          <w:lang w:val="en-US" w:eastAsia="zh-CN"/>
        </w:rPr>
        <w:t>132336197407252118</w:t>
      </w:r>
      <w:r>
        <w:rPr>
          <w:rFonts w:hint="eastAsia"/>
          <w:sz w:val="15"/>
          <w:szCs w:val="15"/>
        </w:rPr>
        <w:t xml:space="preserve">  </w:t>
      </w:r>
      <w:r>
        <w:rPr>
          <w:rFonts w:hint="eastAsia"/>
          <w:sz w:val="15"/>
          <w:szCs w:val="15"/>
          <w:lang w:val="en-US" w:eastAsia="zh-CN"/>
        </w:rPr>
        <w:t>沪A31868A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