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张宗院</w:t>
      </w:r>
      <w:r>
        <w:rPr>
          <w:rFonts w:hint="eastAsia"/>
          <w:sz w:val="15"/>
          <w:szCs w:val="15"/>
          <w:highlight w:val="none"/>
        </w:rPr>
        <w:t>，</w:t>
      </w:r>
      <w:r>
        <w:rPr>
          <w:rFonts w:hint="eastAsia"/>
          <w:sz w:val="15"/>
          <w:szCs w:val="15"/>
          <w:highlight w:val="none"/>
          <w:lang w:val="en-US" w:eastAsia="zh-CN"/>
        </w:rPr>
        <w:t>132336197401191174</w:t>
      </w:r>
      <w:r>
        <w:rPr>
          <w:rFonts w:hint="eastAsia"/>
          <w:sz w:val="15"/>
          <w:szCs w:val="15"/>
        </w:rPr>
        <w:t xml:space="preserve">  </w:t>
      </w:r>
      <w:r>
        <w:rPr>
          <w:rFonts w:hint="eastAsia"/>
          <w:sz w:val="15"/>
          <w:szCs w:val="15"/>
          <w:lang w:val="en-US" w:eastAsia="zh-CN"/>
        </w:rPr>
        <w:t>冀A42706D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