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冯彦文</w:t>
      </w:r>
      <w:r>
        <w:rPr>
          <w:rFonts w:hint="eastAsia"/>
          <w:sz w:val="15"/>
          <w:szCs w:val="15"/>
          <w:highlight w:val="none"/>
        </w:rPr>
        <w:t>，</w:t>
      </w:r>
      <w:r>
        <w:rPr>
          <w:rFonts w:hint="eastAsia"/>
          <w:sz w:val="15"/>
          <w:szCs w:val="15"/>
          <w:highlight w:val="none"/>
          <w:lang w:val="en-US" w:eastAsia="zh-CN"/>
        </w:rPr>
        <w:t>132336197305220510</w:t>
      </w:r>
      <w:r>
        <w:rPr>
          <w:rFonts w:hint="eastAsia"/>
          <w:sz w:val="15"/>
          <w:szCs w:val="15"/>
        </w:rPr>
        <w:t xml:space="preserve">  </w:t>
      </w:r>
      <w:r>
        <w:rPr>
          <w:rFonts w:hint="eastAsia"/>
          <w:sz w:val="15"/>
          <w:szCs w:val="15"/>
          <w:lang w:val="en-US" w:eastAsia="zh-CN"/>
        </w:rPr>
        <w:t>冀A9121V</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