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王会燕</w:t>
      </w:r>
      <w:r>
        <w:rPr>
          <w:rFonts w:hint="eastAsia"/>
          <w:sz w:val="15"/>
          <w:szCs w:val="15"/>
          <w:highlight w:val="none"/>
        </w:rPr>
        <w:t>，</w:t>
      </w:r>
      <w:r>
        <w:rPr>
          <w:rFonts w:hint="eastAsia"/>
          <w:sz w:val="15"/>
          <w:szCs w:val="15"/>
          <w:highlight w:val="none"/>
          <w:lang w:val="en-US" w:eastAsia="zh-CN"/>
        </w:rPr>
        <w:t>132336197304011311</w:t>
      </w:r>
      <w:r>
        <w:rPr>
          <w:rFonts w:hint="eastAsia"/>
          <w:sz w:val="15"/>
          <w:szCs w:val="15"/>
        </w:rPr>
        <w:t xml:space="preserve">  </w:t>
      </w:r>
      <w:r>
        <w:rPr>
          <w:rFonts w:hint="eastAsia"/>
          <w:sz w:val="15"/>
          <w:szCs w:val="15"/>
          <w:lang w:val="en-US" w:eastAsia="zh-CN"/>
        </w:rPr>
        <w:t>冀A54865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