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赵春生</w:t>
      </w:r>
      <w:r>
        <w:rPr>
          <w:rFonts w:hint="eastAsia"/>
          <w:sz w:val="15"/>
          <w:szCs w:val="15"/>
          <w:highlight w:val="none"/>
        </w:rPr>
        <w:t>，</w:t>
      </w:r>
      <w:r>
        <w:rPr>
          <w:rFonts w:hint="eastAsia"/>
          <w:sz w:val="15"/>
          <w:szCs w:val="15"/>
          <w:highlight w:val="none"/>
          <w:lang w:val="en-US" w:eastAsia="zh-CN"/>
        </w:rPr>
        <w:t>132336197303151216</w:t>
      </w:r>
      <w:r>
        <w:rPr>
          <w:rFonts w:hint="eastAsia"/>
          <w:sz w:val="15"/>
          <w:szCs w:val="15"/>
        </w:rPr>
        <w:t xml:space="preserve">  </w:t>
      </w:r>
      <w:r>
        <w:rPr>
          <w:rFonts w:hint="eastAsia"/>
          <w:sz w:val="15"/>
          <w:szCs w:val="15"/>
          <w:lang w:val="en-US" w:eastAsia="zh-CN"/>
        </w:rPr>
        <w:t>冀A40L67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