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索建英</w:t>
      </w:r>
      <w:r>
        <w:rPr>
          <w:rFonts w:hint="eastAsia"/>
          <w:sz w:val="15"/>
          <w:szCs w:val="15"/>
          <w:highlight w:val="none"/>
        </w:rPr>
        <w:t>，</w:t>
      </w:r>
      <w:r>
        <w:rPr>
          <w:rFonts w:hint="eastAsia"/>
          <w:sz w:val="15"/>
          <w:szCs w:val="15"/>
          <w:highlight w:val="none"/>
          <w:lang w:val="en-US" w:eastAsia="zh-CN"/>
        </w:rPr>
        <w:t>132336197211181119</w:t>
      </w:r>
      <w:r>
        <w:rPr>
          <w:rFonts w:hint="eastAsia"/>
          <w:sz w:val="15"/>
          <w:szCs w:val="15"/>
        </w:rPr>
        <w:t xml:space="preserve">  </w:t>
      </w:r>
      <w:r>
        <w:rPr>
          <w:rFonts w:hint="eastAsia"/>
          <w:sz w:val="15"/>
          <w:szCs w:val="15"/>
          <w:lang w:val="en-US" w:eastAsia="zh-CN"/>
        </w:rPr>
        <w:t>冀A953AZ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