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李兵学</w:t>
      </w:r>
      <w:r>
        <w:rPr>
          <w:rFonts w:hint="eastAsia"/>
          <w:sz w:val="15"/>
          <w:szCs w:val="15"/>
          <w:highlight w:val="none"/>
        </w:rPr>
        <w:t>，</w:t>
      </w:r>
      <w:r>
        <w:rPr>
          <w:rFonts w:hint="eastAsia"/>
          <w:sz w:val="15"/>
          <w:szCs w:val="15"/>
          <w:highlight w:val="none"/>
          <w:lang w:val="en-US" w:eastAsia="zh-CN"/>
        </w:rPr>
        <w:t>132336197206150510</w:t>
      </w:r>
      <w:r>
        <w:rPr>
          <w:rFonts w:hint="eastAsia"/>
          <w:sz w:val="15"/>
          <w:szCs w:val="15"/>
        </w:rPr>
        <w:t xml:space="preserve">  </w:t>
      </w:r>
      <w:r>
        <w:rPr>
          <w:rFonts w:hint="eastAsia"/>
          <w:sz w:val="15"/>
          <w:szCs w:val="15"/>
          <w:lang w:val="en-US" w:eastAsia="zh-CN"/>
        </w:rPr>
        <w:t>冀A522Q9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