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马双平</w:t>
      </w:r>
      <w:r>
        <w:rPr>
          <w:rFonts w:hint="eastAsia"/>
          <w:sz w:val="15"/>
          <w:szCs w:val="15"/>
          <w:highlight w:val="none"/>
        </w:rPr>
        <w:t>，</w:t>
      </w:r>
      <w:r>
        <w:rPr>
          <w:rFonts w:hint="eastAsia"/>
          <w:sz w:val="15"/>
          <w:szCs w:val="15"/>
          <w:highlight w:val="none"/>
          <w:lang w:val="en-US" w:eastAsia="zh-CN"/>
        </w:rPr>
        <w:t>132336197106131056</w:t>
      </w:r>
      <w:r>
        <w:rPr>
          <w:rFonts w:hint="eastAsia"/>
          <w:sz w:val="15"/>
          <w:szCs w:val="15"/>
        </w:rPr>
        <w:t xml:space="preserve">  </w:t>
      </w:r>
      <w:r>
        <w:rPr>
          <w:rFonts w:hint="eastAsia"/>
          <w:sz w:val="15"/>
          <w:szCs w:val="15"/>
          <w:lang w:val="en-US" w:eastAsia="zh-CN"/>
        </w:rPr>
        <w:t>冀AB8057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