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白二岗</w:t>
      </w:r>
      <w:r>
        <w:rPr>
          <w:rFonts w:hint="eastAsia"/>
          <w:sz w:val="15"/>
          <w:szCs w:val="15"/>
          <w:highlight w:val="none"/>
        </w:rPr>
        <w:t>，</w:t>
      </w:r>
      <w:r>
        <w:rPr>
          <w:rFonts w:hint="eastAsia"/>
          <w:sz w:val="15"/>
          <w:szCs w:val="15"/>
          <w:highlight w:val="none"/>
          <w:lang w:val="en-US" w:eastAsia="zh-CN"/>
        </w:rPr>
        <w:t>13233619710413101X</w:t>
      </w:r>
      <w:r>
        <w:rPr>
          <w:rFonts w:hint="eastAsia"/>
          <w:sz w:val="15"/>
          <w:szCs w:val="15"/>
        </w:rPr>
        <w:t xml:space="preserve">  </w:t>
      </w:r>
      <w:r>
        <w:rPr>
          <w:rFonts w:hint="eastAsia"/>
          <w:sz w:val="15"/>
          <w:szCs w:val="15"/>
          <w:lang w:val="en-US" w:eastAsia="zh-CN"/>
        </w:rPr>
        <w:t>冀AP5578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