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刘海芹</w:t>
      </w:r>
      <w:r>
        <w:rPr>
          <w:rFonts w:hint="eastAsia"/>
          <w:sz w:val="15"/>
          <w:szCs w:val="15"/>
          <w:highlight w:val="none"/>
        </w:rPr>
        <w:t>，</w:t>
      </w:r>
      <w:r>
        <w:rPr>
          <w:rFonts w:hint="eastAsia"/>
          <w:sz w:val="15"/>
          <w:szCs w:val="15"/>
          <w:highlight w:val="none"/>
          <w:lang w:val="en-US" w:eastAsia="zh-CN"/>
        </w:rPr>
        <w:t>132336197011280710</w:t>
      </w:r>
      <w:r>
        <w:rPr>
          <w:rFonts w:hint="eastAsia"/>
          <w:sz w:val="15"/>
          <w:szCs w:val="15"/>
        </w:rPr>
        <w:t xml:space="preserve">  </w:t>
      </w:r>
      <w:r>
        <w:rPr>
          <w:rFonts w:hint="eastAsia"/>
          <w:sz w:val="15"/>
          <w:szCs w:val="15"/>
          <w:lang w:val="en-US" w:eastAsia="zh-CN"/>
        </w:rPr>
        <w:t>冀A2G915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