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康胜利</w:t>
      </w:r>
      <w:r>
        <w:rPr>
          <w:rFonts w:hint="eastAsia"/>
          <w:sz w:val="15"/>
          <w:szCs w:val="15"/>
          <w:highlight w:val="none"/>
        </w:rPr>
        <w:t>，</w:t>
      </w:r>
      <w:r>
        <w:rPr>
          <w:rFonts w:hint="eastAsia"/>
          <w:sz w:val="15"/>
          <w:szCs w:val="15"/>
          <w:highlight w:val="none"/>
          <w:lang w:val="en-US" w:eastAsia="zh-CN"/>
        </w:rPr>
        <w:t>132336196908253018</w:t>
      </w:r>
      <w:r>
        <w:rPr>
          <w:rFonts w:hint="eastAsia"/>
          <w:sz w:val="15"/>
          <w:szCs w:val="15"/>
        </w:rPr>
        <w:t xml:space="preserve">  </w:t>
      </w:r>
      <w:r>
        <w:rPr>
          <w:rFonts w:hint="eastAsia"/>
          <w:sz w:val="15"/>
          <w:szCs w:val="15"/>
          <w:lang w:val="en-US" w:eastAsia="zh-CN"/>
        </w:rPr>
        <w:t>冀A96202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