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王玉峰</w:t>
      </w:r>
      <w:r>
        <w:rPr>
          <w:rFonts w:hint="eastAsia"/>
          <w:sz w:val="15"/>
          <w:szCs w:val="15"/>
          <w:highlight w:val="none"/>
        </w:rPr>
        <w:t>，</w:t>
      </w:r>
      <w:r>
        <w:rPr>
          <w:rFonts w:hint="eastAsia"/>
          <w:sz w:val="15"/>
          <w:szCs w:val="15"/>
          <w:highlight w:val="none"/>
          <w:lang w:val="en-US" w:eastAsia="zh-CN"/>
        </w:rPr>
        <w:t>132336196907290335</w:t>
      </w:r>
      <w:r>
        <w:rPr>
          <w:rFonts w:hint="eastAsia"/>
          <w:sz w:val="15"/>
          <w:szCs w:val="15"/>
        </w:rPr>
        <w:t xml:space="preserve">  </w:t>
      </w:r>
      <w:r>
        <w:rPr>
          <w:rFonts w:hint="eastAsia"/>
          <w:sz w:val="15"/>
          <w:szCs w:val="15"/>
          <w:lang w:val="en-US" w:eastAsia="zh-CN"/>
        </w:rPr>
        <w:t>冀A7P303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