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马荣合</w:t>
      </w:r>
      <w:r>
        <w:rPr>
          <w:rFonts w:hint="eastAsia"/>
          <w:sz w:val="15"/>
          <w:szCs w:val="15"/>
          <w:highlight w:val="none"/>
        </w:rPr>
        <w:t>，</w:t>
      </w:r>
      <w:r>
        <w:rPr>
          <w:rFonts w:hint="eastAsia"/>
          <w:sz w:val="15"/>
          <w:szCs w:val="15"/>
          <w:highlight w:val="none"/>
          <w:lang w:val="en-US" w:eastAsia="zh-CN"/>
        </w:rPr>
        <w:t>132336196706201113</w:t>
      </w:r>
      <w:r>
        <w:rPr>
          <w:rFonts w:hint="eastAsia"/>
          <w:sz w:val="15"/>
          <w:szCs w:val="15"/>
        </w:rPr>
        <w:t xml:space="preserve">  </w:t>
      </w:r>
      <w:r>
        <w:rPr>
          <w:rFonts w:hint="eastAsia"/>
          <w:sz w:val="15"/>
          <w:szCs w:val="15"/>
          <w:lang w:val="en-US" w:eastAsia="zh-CN"/>
        </w:rPr>
        <w:t>冀A919UU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