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杨青林</w:t>
      </w:r>
      <w:r>
        <w:rPr>
          <w:rFonts w:hint="eastAsia"/>
          <w:sz w:val="15"/>
          <w:szCs w:val="15"/>
          <w:highlight w:val="none"/>
        </w:rPr>
        <w:t>，</w:t>
      </w:r>
      <w:r>
        <w:rPr>
          <w:rFonts w:hint="eastAsia"/>
          <w:sz w:val="15"/>
          <w:szCs w:val="15"/>
          <w:highlight w:val="none"/>
          <w:lang w:val="en-US" w:eastAsia="zh-CN"/>
        </w:rPr>
        <w:t>132336196612302116</w:t>
      </w:r>
      <w:r>
        <w:rPr>
          <w:rFonts w:hint="eastAsia"/>
          <w:sz w:val="15"/>
          <w:szCs w:val="15"/>
        </w:rPr>
        <w:t xml:space="preserve">  </w:t>
      </w:r>
      <w:r>
        <w:rPr>
          <w:rFonts w:hint="eastAsia"/>
          <w:sz w:val="15"/>
          <w:szCs w:val="15"/>
          <w:lang w:val="en-US" w:eastAsia="zh-CN"/>
        </w:rPr>
        <w:t>冀A6933Z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