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卢清书</w:t>
      </w:r>
      <w:r>
        <w:rPr>
          <w:rFonts w:hint="eastAsia"/>
          <w:sz w:val="15"/>
          <w:szCs w:val="15"/>
          <w:highlight w:val="none"/>
        </w:rPr>
        <w:t>，</w:t>
      </w:r>
      <w:r>
        <w:rPr>
          <w:rFonts w:hint="eastAsia"/>
          <w:sz w:val="15"/>
          <w:szCs w:val="15"/>
          <w:highlight w:val="none"/>
          <w:lang w:val="en-US" w:eastAsia="zh-CN"/>
        </w:rPr>
        <w:t>132335198208192915</w:t>
      </w:r>
      <w:r>
        <w:rPr>
          <w:rFonts w:hint="eastAsia"/>
          <w:sz w:val="15"/>
          <w:szCs w:val="15"/>
        </w:rPr>
        <w:t xml:space="preserve">  </w:t>
      </w:r>
      <w:r>
        <w:rPr>
          <w:rFonts w:hint="eastAsia"/>
          <w:sz w:val="15"/>
          <w:szCs w:val="15"/>
          <w:lang w:val="en-US" w:eastAsia="zh-CN"/>
        </w:rPr>
        <w:t>冀ASP249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