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李桃</w:t>
      </w:r>
      <w:r>
        <w:rPr>
          <w:rFonts w:hint="eastAsia"/>
          <w:sz w:val="15"/>
          <w:szCs w:val="15"/>
          <w:highlight w:val="none"/>
        </w:rPr>
        <w:t>，</w:t>
      </w:r>
      <w:r>
        <w:rPr>
          <w:rFonts w:hint="eastAsia"/>
          <w:sz w:val="15"/>
          <w:szCs w:val="15"/>
          <w:highlight w:val="none"/>
          <w:lang w:val="en-US" w:eastAsia="zh-CN"/>
        </w:rPr>
        <w:t>132335198111180870</w:t>
      </w:r>
      <w:r>
        <w:rPr>
          <w:rFonts w:hint="eastAsia"/>
          <w:sz w:val="15"/>
          <w:szCs w:val="15"/>
        </w:rPr>
        <w:t xml:space="preserve">  </w:t>
      </w:r>
      <w:r>
        <w:rPr>
          <w:rFonts w:hint="eastAsia"/>
          <w:sz w:val="15"/>
          <w:szCs w:val="15"/>
          <w:lang w:val="en-US" w:eastAsia="zh-CN"/>
        </w:rPr>
        <w:t>冀ATC494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