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田春伟</w:t>
      </w:r>
      <w:r>
        <w:rPr>
          <w:rFonts w:hint="eastAsia"/>
          <w:sz w:val="15"/>
          <w:szCs w:val="15"/>
          <w:highlight w:val="none"/>
        </w:rPr>
        <w:t>，</w:t>
      </w:r>
      <w:r>
        <w:rPr>
          <w:rFonts w:hint="eastAsia"/>
          <w:sz w:val="15"/>
          <w:szCs w:val="15"/>
          <w:highlight w:val="none"/>
          <w:lang w:val="en-US" w:eastAsia="zh-CN"/>
        </w:rPr>
        <w:t>13233519811108087X</w:t>
      </w:r>
      <w:r>
        <w:rPr>
          <w:rFonts w:hint="eastAsia"/>
          <w:sz w:val="15"/>
          <w:szCs w:val="15"/>
        </w:rPr>
        <w:t xml:space="preserve">  </w:t>
      </w:r>
      <w:r>
        <w:rPr>
          <w:rFonts w:hint="eastAsia"/>
          <w:sz w:val="15"/>
          <w:szCs w:val="15"/>
          <w:lang w:val="en-US" w:eastAsia="zh-CN"/>
        </w:rPr>
        <w:t>冀A1155G</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