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何淑春</w:t>
      </w:r>
      <w:r>
        <w:rPr>
          <w:rFonts w:hint="eastAsia"/>
          <w:sz w:val="15"/>
          <w:szCs w:val="15"/>
          <w:highlight w:val="none"/>
        </w:rPr>
        <w:t>，</w:t>
      </w:r>
      <w:r>
        <w:rPr>
          <w:rFonts w:hint="eastAsia"/>
          <w:sz w:val="15"/>
          <w:szCs w:val="15"/>
          <w:highlight w:val="none"/>
          <w:lang w:val="en-US" w:eastAsia="zh-CN"/>
        </w:rPr>
        <w:t>132335198111052596</w:t>
      </w:r>
      <w:r>
        <w:rPr>
          <w:rFonts w:hint="eastAsia"/>
          <w:sz w:val="15"/>
          <w:szCs w:val="15"/>
        </w:rPr>
        <w:t xml:space="preserve">  </w:t>
      </w:r>
      <w:r>
        <w:rPr>
          <w:rFonts w:hint="eastAsia"/>
          <w:sz w:val="15"/>
          <w:szCs w:val="15"/>
          <w:lang w:val="en-US" w:eastAsia="zh-CN"/>
        </w:rPr>
        <w:t>冀A8804K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