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王永庆</w:t>
      </w:r>
      <w:r>
        <w:rPr>
          <w:rFonts w:hint="eastAsia"/>
          <w:sz w:val="15"/>
          <w:szCs w:val="15"/>
          <w:highlight w:val="none"/>
        </w:rPr>
        <w:t>，</w:t>
      </w:r>
      <w:r>
        <w:rPr>
          <w:rFonts w:hint="eastAsia"/>
          <w:sz w:val="15"/>
          <w:szCs w:val="15"/>
          <w:highlight w:val="none"/>
          <w:lang w:val="en-US" w:eastAsia="zh-CN"/>
        </w:rPr>
        <w:t>132335198110040059</w:t>
      </w:r>
      <w:r>
        <w:rPr>
          <w:rFonts w:hint="eastAsia"/>
          <w:sz w:val="15"/>
          <w:szCs w:val="15"/>
        </w:rPr>
        <w:t xml:space="preserve">  </w:t>
      </w:r>
      <w:r>
        <w:rPr>
          <w:rFonts w:hint="eastAsia"/>
          <w:sz w:val="15"/>
          <w:szCs w:val="15"/>
          <w:lang w:val="en-US" w:eastAsia="zh-CN"/>
        </w:rPr>
        <w:t>冀AYL909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