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张元亮</w:t>
      </w:r>
      <w:r>
        <w:rPr>
          <w:rFonts w:hint="eastAsia"/>
          <w:sz w:val="15"/>
          <w:szCs w:val="15"/>
          <w:highlight w:val="none"/>
        </w:rPr>
        <w:t>，</w:t>
      </w:r>
      <w:r>
        <w:rPr>
          <w:rFonts w:hint="eastAsia"/>
          <w:sz w:val="15"/>
          <w:szCs w:val="15"/>
          <w:highlight w:val="none"/>
          <w:lang w:val="en-US" w:eastAsia="zh-CN"/>
        </w:rPr>
        <w:t>132335198109111171</w:t>
      </w:r>
      <w:r>
        <w:rPr>
          <w:rFonts w:hint="eastAsia"/>
          <w:sz w:val="15"/>
          <w:szCs w:val="15"/>
        </w:rPr>
        <w:t xml:space="preserve">  </w:t>
      </w:r>
      <w:r>
        <w:rPr>
          <w:rFonts w:hint="eastAsia"/>
          <w:sz w:val="15"/>
          <w:szCs w:val="15"/>
          <w:lang w:val="en-US" w:eastAsia="zh-CN"/>
        </w:rPr>
        <w:t>冀AGG987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