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王彦伟</w:t>
      </w:r>
      <w:r>
        <w:rPr>
          <w:rFonts w:hint="eastAsia"/>
          <w:sz w:val="15"/>
          <w:szCs w:val="15"/>
          <w:highlight w:val="none"/>
        </w:rPr>
        <w:t>，</w:t>
      </w:r>
      <w:r>
        <w:rPr>
          <w:rFonts w:hint="eastAsia"/>
          <w:sz w:val="15"/>
          <w:szCs w:val="15"/>
          <w:highlight w:val="none"/>
          <w:lang w:val="en-US" w:eastAsia="zh-CN"/>
        </w:rPr>
        <w:t>132335198107232017</w:t>
      </w:r>
      <w:r>
        <w:rPr>
          <w:rFonts w:hint="eastAsia"/>
          <w:sz w:val="15"/>
          <w:szCs w:val="15"/>
        </w:rPr>
        <w:t xml:space="preserve">  </w:t>
      </w:r>
      <w:r>
        <w:rPr>
          <w:rFonts w:hint="eastAsia"/>
          <w:sz w:val="15"/>
          <w:szCs w:val="15"/>
          <w:lang w:val="en-US" w:eastAsia="zh-CN"/>
        </w:rPr>
        <w:t>冀T09258D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