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郜彦兵</w:t>
      </w:r>
      <w:r>
        <w:rPr>
          <w:rFonts w:hint="eastAsia"/>
          <w:sz w:val="15"/>
          <w:szCs w:val="15"/>
          <w:highlight w:val="none"/>
        </w:rPr>
        <w:t>，</w:t>
      </w:r>
      <w:r>
        <w:rPr>
          <w:rFonts w:hint="eastAsia"/>
          <w:sz w:val="15"/>
          <w:szCs w:val="15"/>
          <w:highlight w:val="none"/>
          <w:lang w:val="en-US" w:eastAsia="zh-CN"/>
        </w:rPr>
        <w:t>132335198107160412</w:t>
      </w:r>
      <w:r>
        <w:rPr>
          <w:rFonts w:hint="eastAsia"/>
          <w:sz w:val="15"/>
          <w:szCs w:val="15"/>
        </w:rPr>
        <w:t xml:space="preserve">  </w:t>
      </w:r>
      <w:r>
        <w:rPr>
          <w:rFonts w:hint="eastAsia"/>
          <w:sz w:val="15"/>
          <w:szCs w:val="15"/>
          <w:lang w:val="en-US" w:eastAsia="zh-CN"/>
        </w:rPr>
        <w:t>冀A03848D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