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刘文彦</w:t>
      </w:r>
      <w:r>
        <w:rPr>
          <w:rFonts w:hint="eastAsia"/>
          <w:sz w:val="15"/>
          <w:szCs w:val="15"/>
          <w:highlight w:val="none"/>
        </w:rPr>
        <w:t>，</w:t>
      </w:r>
      <w:r>
        <w:rPr>
          <w:rFonts w:hint="eastAsia"/>
          <w:sz w:val="15"/>
          <w:szCs w:val="15"/>
          <w:highlight w:val="none"/>
          <w:lang w:val="en-US" w:eastAsia="zh-CN"/>
        </w:rPr>
        <w:t>132335198106301172</w:t>
      </w:r>
      <w:r>
        <w:rPr>
          <w:rFonts w:hint="eastAsia"/>
          <w:sz w:val="15"/>
          <w:szCs w:val="15"/>
        </w:rPr>
        <w:t xml:space="preserve">  </w:t>
      </w:r>
      <w:r>
        <w:rPr>
          <w:rFonts w:hint="eastAsia"/>
          <w:sz w:val="15"/>
          <w:szCs w:val="15"/>
          <w:lang w:val="en-US" w:eastAsia="zh-CN"/>
        </w:rPr>
        <w:t>沪A10920A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