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康会波</w:t>
      </w:r>
      <w:r>
        <w:rPr>
          <w:rFonts w:hint="eastAsia"/>
          <w:sz w:val="15"/>
          <w:szCs w:val="15"/>
          <w:highlight w:val="none"/>
        </w:rPr>
        <w:t>，</w:t>
      </w:r>
      <w:r>
        <w:rPr>
          <w:rFonts w:hint="eastAsia"/>
          <w:sz w:val="15"/>
          <w:szCs w:val="15"/>
          <w:highlight w:val="none"/>
          <w:lang w:val="en-US" w:eastAsia="zh-CN"/>
        </w:rPr>
        <w:t>132335198105030411</w:t>
      </w:r>
      <w:r>
        <w:rPr>
          <w:rFonts w:hint="eastAsia"/>
          <w:sz w:val="15"/>
          <w:szCs w:val="15"/>
        </w:rPr>
        <w:t xml:space="preserve">  </w:t>
      </w:r>
      <w:r>
        <w:rPr>
          <w:rFonts w:hint="eastAsia"/>
          <w:sz w:val="15"/>
          <w:szCs w:val="15"/>
          <w:lang w:val="en-US" w:eastAsia="zh-CN"/>
        </w:rPr>
        <w:t>冀AKP289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