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王晓龙</w:t>
      </w:r>
      <w:r>
        <w:rPr>
          <w:rFonts w:hint="eastAsia"/>
          <w:sz w:val="15"/>
          <w:szCs w:val="15"/>
          <w:highlight w:val="none"/>
        </w:rPr>
        <w:t>，</w:t>
      </w:r>
      <w:r>
        <w:rPr>
          <w:rFonts w:hint="eastAsia"/>
          <w:sz w:val="15"/>
          <w:szCs w:val="15"/>
          <w:highlight w:val="none"/>
          <w:lang w:val="en-US" w:eastAsia="zh-CN"/>
        </w:rPr>
        <w:t>132335198104020414</w:t>
      </w:r>
      <w:r>
        <w:rPr>
          <w:rFonts w:hint="eastAsia"/>
          <w:sz w:val="15"/>
          <w:szCs w:val="15"/>
        </w:rPr>
        <w:t xml:space="preserve">  </w:t>
      </w:r>
      <w:r>
        <w:rPr>
          <w:rFonts w:hint="eastAsia"/>
          <w:sz w:val="15"/>
          <w:szCs w:val="15"/>
          <w:lang w:val="en-US" w:eastAsia="zh-CN"/>
        </w:rPr>
        <w:t>冀A1453W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