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解利强</w:t>
      </w:r>
      <w:r>
        <w:rPr>
          <w:rFonts w:hint="eastAsia"/>
          <w:sz w:val="15"/>
          <w:szCs w:val="15"/>
          <w:highlight w:val="none"/>
        </w:rPr>
        <w:t>，</w:t>
      </w:r>
      <w:r>
        <w:rPr>
          <w:rFonts w:hint="eastAsia"/>
          <w:sz w:val="15"/>
          <w:szCs w:val="15"/>
          <w:highlight w:val="none"/>
          <w:lang w:val="en-US" w:eastAsia="zh-CN"/>
        </w:rPr>
        <w:t>132335198103131470</w:t>
      </w:r>
      <w:r>
        <w:rPr>
          <w:rFonts w:hint="eastAsia"/>
          <w:sz w:val="15"/>
          <w:szCs w:val="15"/>
        </w:rPr>
        <w:t xml:space="preserve">  </w:t>
      </w:r>
      <w:r>
        <w:rPr>
          <w:rFonts w:hint="eastAsia"/>
          <w:sz w:val="15"/>
          <w:szCs w:val="15"/>
          <w:lang w:val="en-US" w:eastAsia="zh-CN"/>
        </w:rPr>
        <w:t>冀A121Q0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