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韩彦丽</w:t>
      </w:r>
      <w:r>
        <w:rPr>
          <w:rFonts w:hint="eastAsia"/>
          <w:sz w:val="15"/>
          <w:szCs w:val="15"/>
          <w:highlight w:val="none"/>
        </w:rPr>
        <w:t>，</w:t>
      </w:r>
      <w:r>
        <w:rPr>
          <w:rFonts w:hint="eastAsia"/>
          <w:sz w:val="15"/>
          <w:szCs w:val="15"/>
          <w:highlight w:val="none"/>
          <w:lang w:val="en-US" w:eastAsia="zh-CN"/>
        </w:rPr>
        <w:t>13233519810301256X</w:t>
      </w:r>
      <w:r>
        <w:rPr>
          <w:rFonts w:hint="eastAsia"/>
          <w:sz w:val="15"/>
          <w:szCs w:val="15"/>
        </w:rPr>
        <w:t xml:space="preserve">  </w:t>
      </w:r>
      <w:r>
        <w:rPr>
          <w:rFonts w:hint="eastAsia"/>
          <w:sz w:val="15"/>
          <w:szCs w:val="15"/>
          <w:lang w:val="en-US" w:eastAsia="zh-CN"/>
        </w:rPr>
        <w:t>冀A2387V</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