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杨红兵</w:t>
      </w:r>
      <w:r>
        <w:rPr>
          <w:rFonts w:hint="eastAsia"/>
          <w:sz w:val="15"/>
          <w:szCs w:val="15"/>
          <w:highlight w:val="none"/>
        </w:rPr>
        <w:t>，</w:t>
      </w:r>
      <w:r>
        <w:rPr>
          <w:rFonts w:hint="eastAsia"/>
          <w:sz w:val="15"/>
          <w:szCs w:val="15"/>
          <w:highlight w:val="none"/>
          <w:lang w:val="en-US" w:eastAsia="zh-CN"/>
        </w:rPr>
        <w:t>132335198101022916</w:t>
      </w:r>
      <w:r>
        <w:rPr>
          <w:rFonts w:hint="eastAsia"/>
          <w:sz w:val="15"/>
          <w:szCs w:val="15"/>
        </w:rPr>
        <w:t xml:space="preserve">  </w:t>
      </w:r>
      <w:r>
        <w:rPr>
          <w:rFonts w:hint="eastAsia"/>
          <w:sz w:val="15"/>
          <w:szCs w:val="15"/>
          <w:lang w:val="en-US" w:eastAsia="zh-CN"/>
        </w:rPr>
        <w:t>冀A89647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