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齐建伟</w:t>
      </w:r>
      <w:r>
        <w:rPr>
          <w:rFonts w:hint="eastAsia"/>
          <w:sz w:val="15"/>
          <w:szCs w:val="15"/>
          <w:highlight w:val="none"/>
        </w:rPr>
        <w:t>，</w:t>
      </w:r>
      <w:r>
        <w:rPr>
          <w:rFonts w:hint="eastAsia"/>
          <w:sz w:val="15"/>
          <w:szCs w:val="15"/>
          <w:highlight w:val="none"/>
          <w:lang w:val="en-US" w:eastAsia="zh-CN"/>
        </w:rPr>
        <w:t>13233519801108227X</w:t>
      </w:r>
      <w:r>
        <w:rPr>
          <w:rFonts w:hint="eastAsia"/>
          <w:sz w:val="15"/>
          <w:szCs w:val="15"/>
        </w:rPr>
        <w:t xml:space="preserve">  </w:t>
      </w:r>
      <w:r>
        <w:rPr>
          <w:rFonts w:hint="eastAsia"/>
          <w:sz w:val="15"/>
          <w:szCs w:val="15"/>
          <w:lang w:val="en-US" w:eastAsia="zh-CN"/>
        </w:rPr>
        <w:t>冀AK4188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